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DF38" w14:textId="77777777" w:rsidR="008B1805" w:rsidRDefault="00B04E6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</w:t>
      </w:r>
    </w:p>
    <w:p w14:paraId="74F26C7D" w14:textId="77777777" w:rsidR="008B1805" w:rsidRDefault="00B04E6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</w:p>
    <w:p w14:paraId="1338EF13" w14:textId="55C56439" w:rsidR="008B1805" w:rsidRDefault="00646D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A65E3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 w:rsidR="00A65E3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="00B04E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4E64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="00B04E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4E64"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 w:rsidR="00B04E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4E64"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 w:rsidR="00B04E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4E64"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 w:rsidR="00B04E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4E64"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 w:rsidR="00B04E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4E64"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 w:rsidR="00B04E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4E64"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0A386287" w14:textId="77777777" w:rsidR="008B1805" w:rsidRDefault="00B04E64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3028987B" w14:textId="77777777" w:rsidR="008B1805" w:rsidRPr="00EA5927" w:rsidRDefault="00B04E64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сыныбы</w:t>
      </w:r>
      <w:proofErr w:type="spellEnd"/>
      <w:r w:rsidR="00EA5927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) </w:t>
      </w:r>
      <w:r w:rsidR="00EA5927" w:rsidRPr="00EA5927">
        <w:rPr>
          <w:rFonts w:ascii="Times New Roman" w:eastAsia="Times New Roman" w:hAnsi="Times New Roman" w:cs="Times New Roman"/>
          <w:sz w:val="28"/>
          <w:szCs w:val="28"/>
          <w:lang w:val="ru-RU"/>
        </w:rPr>
        <w:t>ЖШС  «</w:t>
      </w:r>
      <w:proofErr w:type="spellStart"/>
      <w:r w:rsidR="00EA5927" w:rsidRPr="00EA5927">
        <w:rPr>
          <w:rFonts w:ascii="Times New Roman" w:eastAsia="Times New Roman" w:hAnsi="Times New Roman" w:cs="Times New Roman"/>
          <w:sz w:val="28"/>
          <w:szCs w:val="28"/>
          <w:lang w:val="ru-RU"/>
        </w:rPr>
        <w:t>Жас</w:t>
      </w:r>
      <w:proofErr w:type="spellEnd"/>
      <w:r w:rsidR="00EA5927" w:rsidRPr="00EA59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Батыр» </w:t>
      </w:r>
      <w:proofErr w:type="spellStart"/>
      <w:r w:rsidR="00EA5927" w:rsidRPr="00EA5927">
        <w:rPr>
          <w:rFonts w:ascii="Times New Roman" w:eastAsia="Times New Roman" w:hAnsi="Times New Roman" w:cs="Times New Roman"/>
          <w:sz w:val="28"/>
          <w:szCs w:val="28"/>
          <w:lang w:val="ru-RU"/>
        </w:rPr>
        <w:t>балабақшасы</w:t>
      </w:r>
      <w:proofErr w:type="spellEnd"/>
    </w:p>
    <w:p w14:paraId="206E6C72" w14:textId="119C9B63" w:rsidR="008B1805" w:rsidRPr="00734F2A" w:rsidRDefault="00B04E64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r w:rsidR="00734F2A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«Балапан»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ортаңғы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</w:p>
    <w:p w14:paraId="47430903" w14:textId="77777777" w:rsidR="008B1805" w:rsidRDefault="00B04E64">
      <w:pPr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</w:p>
    <w:p w14:paraId="71BD8962" w14:textId="76016D7C" w:rsidR="008B1805" w:rsidRDefault="00B04E64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</w:t>
      </w:r>
      <w:r w:rsidR="00646D7B">
        <w:rPr>
          <w:rFonts w:ascii="Times New Roman" w:eastAsia="Times New Roman" w:hAnsi="Times New Roman" w:cs="Times New Roman"/>
          <w:sz w:val="28"/>
          <w:szCs w:val="28"/>
          <w:highlight w:val="white"/>
        </w:rPr>
        <w:t>ң</w:t>
      </w:r>
      <w:proofErr w:type="spellEnd"/>
      <w:r w:rsidR="00646D7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646D7B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 w:rsidR="00646D7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646D7B"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 w:rsidR="00646D7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 w:rsidR="00646D7B">
        <w:rPr>
          <w:rFonts w:ascii="Times New Roman" w:eastAsia="Times New Roman" w:hAnsi="Times New Roman" w:cs="Times New Roman"/>
          <w:sz w:val="28"/>
          <w:szCs w:val="28"/>
          <w:highlight w:val="white"/>
        </w:rPr>
        <w:t>ақпан</w:t>
      </w:r>
      <w:proofErr w:type="spellEnd"/>
      <w:r w:rsidR="00646D7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646D7B"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 w:rsidR="00646D7B">
        <w:rPr>
          <w:rFonts w:ascii="Times New Roman" w:eastAsia="Times New Roman" w:hAnsi="Times New Roman" w:cs="Times New Roman"/>
          <w:sz w:val="28"/>
          <w:szCs w:val="28"/>
          <w:highlight w:val="white"/>
        </w:rPr>
        <w:t>, 202</w:t>
      </w:r>
      <w:r w:rsidR="00A65E3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2</w:t>
      </w:r>
      <w:r w:rsidR="00646D7B">
        <w:rPr>
          <w:rFonts w:ascii="Times New Roman" w:eastAsia="Times New Roman" w:hAnsi="Times New Roman" w:cs="Times New Roman"/>
          <w:sz w:val="28"/>
          <w:szCs w:val="28"/>
          <w:highlight w:val="white"/>
        </w:rPr>
        <w:t>-202</w:t>
      </w:r>
      <w:r w:rsidR="00A65E3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F4C77E1" w14:textId="77777777" w:rsidR="008B1805" w:rsidRDefault="008B1805"/>
    <w:tbl>
      <w:tblPr>
        <w:tblStyle w:val="a5"/>
        <w:tblW w:w="139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4245"/>
        <w:gridCol w:w="7815"/>
      </w:tblGrid>
      <w:tr w:rsidR="008B1805" w14:paraId="41410B02" w14:textId="77777777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AF36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14E23" w14:textId="77777777" w:rsidR="008B1805" w:rsidRDefault="00B04E6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7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F4BF0" w14:textId="77777777" w:rsidR="008B1805" w:rsidRDefault="00B04E6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8B1805" w14:paraId="5F555CC9" w14:textId="77777777"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016E0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A96B2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4064E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32976F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E84089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009EFD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52E013DF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967222F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974C8E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B609138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AFDC93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4-6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 сантиметр),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модуль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туннель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саты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1,5 метр).</w:t>
            </w:r>
          </w:p>
          <w:p w14:paraId="2FADB4F7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6043F1A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F58AFB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75E1A469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6C6D3931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538001E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69475B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гидроаэробика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1E33A56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541CBA3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2DF03F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669E64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CD745B0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олқылықтарды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9991EDF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24211C0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AFCA30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1EC92AB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C36E16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үй-жайда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ұзақтығын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62EBCD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FCFEF2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CD8432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1805" w14:paraId="40D95DB0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7710" w14:textId="77777777" w:rsidR="008B1805" w:rsidRDefault="008B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59E2A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1AD0A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E8352C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4C98FA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9566F1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59B0743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727BC5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E02F3A8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4A4BA0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743F990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(п-б, к-қ, т-д,)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5C9EB3F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</w:p>
          <w:p w14:paraId="7E5292DE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техника,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1805" w14:paraId="1732EF2B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F955" w14:textId="77777777" w:rsidR="008B1805" w:rsidRDefault="008B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92E43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087E6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6A47F0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456A3AB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D1BD06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1B4D6A38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жасауына</w:t>
            </w:r>
            <w:proofErr w:type="spellEnd"/>
          </w:p>
          <w:p w14:paraId="03F0B46C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сәлемдесуде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ырзашылығын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446510D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8A033F1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4F584B0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9F00923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қарындас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9B5C34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B2D2495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DE16556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(бар,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1AF95BCD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438CDB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97F8F0B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баулу.</w:t>
            </w:r>
          </w:p>
          <w:p w14:paraId="4D9F589C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5173AAD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8B1805" w14:paraId="1C816A05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02E4" w14:textId="77777777" w:rsidR="008B1805" w:rsidRDefault="008B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19621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95DC3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BCEB95D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A9EF1E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470C92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B9F921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975AC0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1805" w14:paraId="59C50467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F572" w14:textId="77777777" w:rsidR="008B1805" w:rsidRDefault="008B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0CFA8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B578A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3A3E8D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D7E4C8A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4B0F25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</w:p>
          <w:p w14:paraId="2790BD15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6B2A2C5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E1B5F18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көрнекі-қимылдық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B1BFB8D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B8E3647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8B1805" w14:paraId="65074969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CF9D" w14:textId="77777777" w:rsidR="008B1805" w:rsidRDefault="008B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979EF7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A36FB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6DC1F71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5AEE706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E1BB22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D4B4AF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саңырауқұлақтар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3A24734C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2367ED4C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8B1805" w14:paraId="7556A31B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21F3" w14:textId="77777777" w:rsidR="008B1805" w:rsidRDefault="008B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B5B31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64090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5DA7C561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4BF7D4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56F2E78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1805" w14:paraId="521D9580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C4A22" w14:textId="77777777" w:rsidR="008B1805" w:rsidRDefault="008B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4AFA1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26C95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8C79B4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25C5AE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реңктерін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қызғылт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1805" w14:paraId="7C3ED7DB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D41EA" w14:textId="77777777" w:rsidR="008B1805" w:rsidRDefault="008B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695DC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FE953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беру;</w:t>
            </w:r>
          </w:p>
          <w:p w14:paraId="22E6C4CF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1900C2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1805" w14:paraId="0591B93C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F468" w14:textId="77777777" w:rsidR="008B1805" w:rsidRDefault="008B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BF966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B79B2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2891FC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752ED1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умаждау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1805" w14:paraId="5970E9E6" w14:textId="77777777">
        <w:tc>
          <w:tcPr>
            <w:tcW w:w="18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BD3D7" w14:textId="77777777" w:rsidR="008B1805" w:rsidRDefault="008B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ABCEB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E46BC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DC5916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528312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E7B40D4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барабан, металлофон, маракас,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асатаяқ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72BF15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198011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752D454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A897A5" w14:textId="77777777" w:rsidR="008B1805" w:rsidRDefault="00B04E6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қозғалыстар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1CE7BD2" w14:textId="77777777" w:rsidR="008B1805" w:rsidRDefault="00B04E64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қорбаңдап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BCA08C0" w14:textId="77777777" w:rsidR="008B1805" w:rsidRDefault="008B1805"/>
    <w:sectPr w:rsidR="008B180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805"/>
    <w:rsid w:val="00646D7B"/>
    <w:rsid w:val="00734F2A"/>
    <w:rsid w:val="008B1805"/>
    <w:rsid w:val="00A65E33"/>
    <w:rsid w:val="00B04E64"/>
    <w:rsid w:val="00EA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EA63"/>
  <w15:docId w15:val="{2C48BAC8-F693-4555-B5D8-0785A4E8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adm</cp:lastModifiedBy>
  <cp:revision>7</cp:revision>
  <dcterms:created xsi:type="dcterms:W3CDTF">2023-06-20T13:42:00Z</dcterms:created>
  <dcterms:modified xsi:type="dcterms:W3CDTF">2024-06-17T14:19:00Z</dcterms:modified>
</cp:coreProperties>
</file>